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1B" w:rsidRPr="0076781B" w:rsidRDefault="0076781B" w:rsidP="0076781B">
      <w:pPr>
        <w:pStyle w:val="Prrafodelista"/>
        <w:ind w:left="360"/>
        <w:jc w:val="center"/>
        <w:rPr>
          <w:rFonts w:ascii="Comic Sans MS" w:hAnsi="Comic Sans MS"/>
          <w:b/>
          <w:color w:val="FF0000"/>
          <w:u w:val="single"/>
        </w:rPr>
      </w:pPr>
      <w:r w:rsidRPr="0076781B">
        <w:rPr>
          <w:rFonts w:ascii="Comic Sans MS" w:hAnsi="Comic Sans MS"/>
          <w:b/>
          <w:color w:val="FF0000"/>
          <w:u w:val="single"/>
        </w:rPr>
        <w:t>Ejercicios tema 2. Javier Martinez</w:t>
      </w:r>
    </w:p>
    <w:p w:rsidR="0076781B" w:rsidRDefault="0076781B" w:rsidP="0076781B">
      <w:pPr>
        <w:pStyle w:val="Prrafodelista"/>
        <w:ind w:left="360"/>
        <w:jc w:val="both"/>
        <w:rPr>
          <w:rFonts w:ascii="Comic Sans MS" w:hAnsi="Comic Sans MS"/>
          <w:color w:val="FF0000"/>
        </w:rPr>
      </w:pPr>
    </w:p>
    <w:p w:rsidR="0076781B" w:rsidRDefault="0076781B" w:rsidP="0076781B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Analizando la gráfica que aparece en:</w:t>
      </w:r>
    </w:p>
    <w:p w:rsidR="0076781B" w:rsidRDefault="00551BF7" w:rsidP="0076781B">
      <w:pPr>
        <w:pStyle w:val="Prrafodelista"/>
        <w:jc w:val="both"/>
        <w:rPr>
          <w:rFonts w:ascii="Comic Sans MS" w:hAnsi="Comic Sans MS"/>
          <w:color w:val="FF0000"/>
        </w:rPr>
      </w:pPr>
      <w:hyperlink r:id="rId6" w:history="1">
        <w:r w:rsidR="0076781B">
          <w:rPr>
            <w:rStyle w:val="Hipervnculo"/>
            <w:rFonts w:ascii="Comic Sans MS" w:hAnsi="Comic Sans MS"/>
            <w:color w:val="FF0000"/>
          </w:rPr>
          <w:t>http://www.eldiario.es/internacional/GRAFICOS-accidentes-aereos-datos-historicos_0_369914187.html</w:t>
        </w:r>
      </w:hyperlink>
    </w:p>
    <w:p w:rsidR="005D09EF" w:rsidRDefault="0076781B" w:rsidP="0076781B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¿Podemos afirmar que era más seguro volar en 1952 que en el 2013, ya que los accidentes aéreos mortales fueron inferiores en 1952?</w:t>
      </w:r>
    </w:p>
    <w:p w:rsidR="00363826" w:rsidRPr="00363826" w:rsidRDefault="00363826" w:rsidP="00363826">
      <w:pPr>
        <w:ind w:left="360"/>
        <w:rPr>
          <w:rFonts w:ascii="Comic Sans MS" w:hAnsi="Comic Sans MS"/>
          <w:color w:val="000000" w:themeColor="text1"/>
        </w:rPr>
      </w:pPr>
      <w:r w:rsidRPr="00363826">
        <w:rPr>
          <w:rFonts w:ascii="Comic Sans MS" w:hAnsi="Comic Sans MS"/>
          <w:color w:val="000000" w:themeColor="text1"/>
        </w:rPr>
        <w:t>No, porque, aunque sean inferiores los accidentes mortales seguramente sea porqu</w:t>
      </w:r>
      <w:r>
        <w:rPr>
          <w:rFonts w:ascii="Comic Sans MS" w:hAnsi="Comic Sans MS"/>
          <w:color w:val="000000" w:themeColor="text1"/>
        </w:rPr>
        <w:t>e había menos aviones activos.</w:t>
      </w:r>
    </w:p>
    <w:p w:rsidR="0076781B" w:rsidRDefault="0076781B" w:rsidP="0076781B">
      <w:pPr>
        <w:rPr>
          <w:rFonts w:ascii="Comic Sans MS" w:hAnsi="Comic Sans MS"/>
          <w:color w:val="FF0000"/>
        </w:rPr>
      </w:pPr>
    </w:p>
    <w:p w:rsidR="0076781B" w:rsidRPr="0076781B" w:rsidRDefault="0076781B" w:rsidP="0076781B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Comic Sans MS" w:hAnsi="Comic Sans MS"/>
          <w:color w:val="FF0000"/>
        </w:rPr>
      </w:pPr>
      <w:r w:rsidRPr="0076781B">
        <w:rPr>
          <w:rFonts w:ascii="Comic Sans MS" w:hAnsi="Comic Sans MS"/>
          <w:color w:val="FF0000"/>
        </w:rPr>
        <w:t>Se ha llevado a cabo un estudio con el fin de conocer la distribución salarial en entidades bancarias. Obteniéndose la siguiente representación gráfica.</w:t>
      </w:r>
    </w:p>
    <w:p w:rsidR="0076781B" w:rsidRDefault="0076781B" w:rsidP="0076781B">
      <w:pPr>
        <w:spacing w:after="200" w:line="276" w:lineRule="auto"/>
        <w:jc w:val="both"/>
        <w:rPr>
          <w:rFonts w:ascii="Comic Sans MS" w:hAnsi="Comic Sans MS"/>
          <w:color w:val="FF0000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es-ES"/>
        </w:rPr>
        <w:drawing>
          <wp:inline distT="0" distB="0" distL="0" distR="0">
            <wp:extent cx="5286375" cy="42195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81B" w:rsidRPr="00551BF7" w:rsidRDefault="0076781B" w:rsidP="00551BF7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Comic Sans MS" w:hAnsi="Comic Sans MS"/>
          <w:color w:val="FF0000"/>
        </w:rPr>
      </w:pPr>
      <w:r w:rsidRPr="00551BF7">
        <w:rPr>
          <w:rFonts w:ascii="Comic Sans MS" w:hAnsi="Comic Sans MS"/>
          <w:color w:val="FF0000"/>
        </w:rPr>
        <w:t>¿Qué tipo de gráfica se ha utilizado’ ¿Para qué tipo de variables es utilizado este gráfico?</w:t>
      </w:r>
    </w:p>
    <w:p w:rsidR="00551BF7" w:rsidRPr="00551BF7" w:rsidRDefault="00551BF7" w:rsidP="0076781B">
      <w:pPr>
        <w:spacing w:after="200"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Es un </w:t>
      </w:r>
      <w:proofErr w:type="spellStart"/>
      <w:r>
        <w:rPr>
          <w:rFonts w:ascii="Comic Sans MS" w:hAnsi="Comic Sans MS"/>
        </w:rPr>
        <w:t>grafico</w:t>
      </w:r>
      <w:proofErr w:type="spellEnd"/>
      <w:r>
        <w:rPr>
          <w:rFonts w:ascii="Comic Sans MS" w:hAnsi="Comic Sans MS"/>
        </w:rPr>
        <w:t xml:space="preserve"> de caja y bigotes, y sirve para variables atípicas.</w:t>
      </w:r>
    </w:p>
    <w:p w:rsidR="00551BF7" w:rsidRDefault="00551BF7" w:rsidP="00551BF7">
      <w:pPr>
        <w:pStyle w:val="Prrafodelista"/>
        <w:spacing w:after="200" w:line="276" w:lineRule="auto"/>
        <w:jc w:val="both"/>
        <w:rPr>
          <w:rFonts w:ascii="Comic Sans MS" w:hAnsi="Comic Sans MS"/>
          <w:color w:val="FF0000"/>
        </w:rPr>
      </w:pPr>
    </w:p>
    <w:p w:rsidR="0076781B" w:rsidRDefault="0076781B" w:rsidP="00551BF7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Comic Sans MS" w:hAnsi="Comic Sans MS"/>
          <w:color w:val="FF0000"/>
        </w:rPr>
      </w:pPr>
      <w:r w:rsidRPr="00551BF7">
        <w:rPr>
          <w:rFonts w:ascii="Comic Sans MS" w:hAnsi="Comic Sans MS"/>
          <w:color w:val="FF0000"/>
        </w:rPr>
        <w:lastRenderedPageBreak/>
        <w:t xml:space="preserve">Analizando la representación gráfica de los datos, ¿qué podemos decir de la distribución de salarios entre hombre y mujeres? </w:t>
      </w:r>
    </w:p>
    <w:p w:rsidR="0076781B" w:rsidRPr="00551BF7" w:rsidRDefault="00551BF7" w:rsidP="00551BF7">
      <w:pPr>
        <w:pStyle w:val="Prrafodelista"/>
        <w:spacing w:after="200" w:line="276" w:lineRule="auto"/>
        <w:jc w:val="both"/>
        <w:rPr>
          <w:rFonts w:ascii="Comic Sans MS" w:hAnsi="Comic Sans MS"/>
        </w:rPr>
      </w:pPr>
      <w:r w:rsidRPr="00551BF7">
        <w:rPr>
          <w:rFonts w:ascii="Comic Sans MS" w:hAnsi="Comic Sans MS"/>
        </w:rPr>
        <w:t xml:space="preserve">Al ver que los datos de los hombres están muy por encima que el de las mujeres, esto </w:t>
      </w:r>
      <w:proofErr w:type="spellStart"/>
      <w:r w:rsidRPr="00551BF7">
        <w:rPr>
          <w:rFonts w:ascii="Comic Sans MS" w:hAnsi="Comic Sans MS"/>
        </w:rPr>
        <w:t>querra</w:t>
      </w:r>
      <w:proofErr w:type="spellEnd"/>
      <w:r w:rsidRPr="00551BF7">
        <w:rPr>
          <w:rFonts w:ascii="Comic Sans MS" w:hAnsi="Comic Sans MS"/>
        </w:rPr>
        <w:t xml:space="preserve"> decir que el </w:t>
      </w:r>
      <w:r>
        <w:rPr>
          <w:rFonts w:ascii="Comic Sans MS" w:hAnsi="Comic Sans MS"/>
        </w:rPr>
        <w:t>salario de los hombres es mayor</w:t>
      </w:r>
    </w:p>
    <w:p w:rsidR="0076781B" w:rsidRDefault="0076781B" w:rsidP="0076781B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 xml:space="preserve">El precio medio de cotización de una acción es de 75 </w:t>
      </w:r>
      <w:proofErr w:type="spellStart"/>
      <w:r>
        <w:rPr>
          <w:rFonts w:ascii="Comic Sans MS" w:hAnsi="Comic Sans MS"/>
          <w:color w:val="FF0000"/>
        </w:rPr>
        <w:t>u.m</w:t>
      </w:r>
      <w:proofErr w:type="spellEnd"/>
      <w:r>
        <w:rPr>
          <w:rFonts w:ascii="Comic Sans MS" w:hAnsi="Comic Sans MS"/>
          <w:color w:val="FF0000"/>
        </w:rPr>
        <w:t>. y su varianza de 25. Calcule el porcentaje de observaciones comprendidas entre los valores 65 y 85.</w:t>
      </w:r>
    </w:p>
    <w:p w:rsidR="00551BF7" w:rsidRPr="00551BF7" w:rsidRDefault="0076781B" w:rsidP="00551BF7">
      <w:pPr>
        <w:pStyle w:val="Prrafodelista"/>
        <w:numPr>
          <w:ilvl w:val="1"/>
          <w:numId w:val="1"/>
        </w:numPr>
        <w:spacing w:after="200" w:line="276" w:lineRule="auto"/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Si los datos tienen forma de campana, calcule el porcentaje aproximado de observaciones comprendidas entre 65 y 85.</w:t>
      </w:r>
    </w:p>
    <w:p w:rsidR="00F1086D" w:rsidRPr="00551BF7" w:rsidRDefault="00F1086D" w:rsidP="00F1086D">
      <w:pPr>
        <w:pStyle w:val="Prrafodelista"/>
        <w:spacing w:after="200" w:line="276" w:lineRule="auto"/>
        <w:ind w:left="1440"/>
        <w:jc w:val="both"/>
        <w:rPr>
          <w:rFonts w:ascii="Comic Sans MS" w:hAnsi="Comic Sans MS"/>
        </w:rPr>
      </w:pPr>
    </w:p>
    <w:p w:rsidR="00551BF7" w:rsidRPr="00551BF7" w:rsidRDefault="00551BF7" w:rsidP="00F1086D">
      <w:pPr>
        <w:pStyle w:val="Prrafodelista"/>
        <w:spacing w:after="200" w:line="276" w:lineRule="auto"/>
        <w:ind w:left="1440"/>
        <w:jc w:val="both"/>
        <w:rPr>
          <w:rFonts w:ascii="Comic Sans MS" w:hAnsi="Comic Sans MS"/>
        </w:rPr>
      </w:pPr>
      <w:r w:rsidRPr="00551BF7">
        <w:rPr>
          <w:rFonts w:ascii="Comic Sans MS" w:hAnsi="Comic Sans MS"/>
        </w:rPr>
        <w:t>El porcentaje es de 31 %</w:t>
      </w:r>
    </w:p>
    <w:p w:rsidR="00551BF7" w:rsidRDefault="00551BF7" w:rsidP="00F1086D">
      <w:pPr>
        <w:pStyle w:val="Prrafodelista"/>
        <w:spacing w:after="200" w:line="276" w:lineRule="auto"/>
        <w:ind w:left="1440"/>
        <w:jc w:val="both"/>
        <w:rPr>
          <w:rFonts w:ascii="Comic Sans MS" w:hAnsi="Comic Sans MS"/>
          <w:color w:val="FF0000"/>
        </w:rPr>
      </w:pPr>
    </w:p>
    <w:p w:rsidR="00551BF7" w:rsidRDefault="00551BF7" w:rsidP="00F1086D">
      <w:pPr>
        <w:pStyle w:val="Prrafodelista"/>
        <w:spacing w:after="200" w:line="276" w:lineRule="auto"/>
        <w:ind w:left="1440"/>
        <w:jc w:val="both"/>
        <w:rPr>
          <w:rFonts w:ascii="Comic Sans MS" w:hAnsi="Comic Sans MS"/>
          <w:color w:val="FF0000"/>
        </w:rPr>
      </w:pPr>
    </w:p>
    <w:p w:rsidR="00551BF7" w:rsidRDefault="00551BF7" w:rsidP="00F1086D">
      <w:pPr>
        <w:pStyle w:val="Prrafodelista"/>
        <w:spacing w:after="200" w:line="276" w:lineRule="auto"/>
        <w:ind w:left="1440"/>
        <w:jc w:val="both"/>
        <w:rPr>
          <w:rFonts w:ascii="Comic Sans MS" w:hAnsi="Comic Sans MS"/>
          <w:color w:val="FF0000"/>
        </w:rPr>
      </w:pPr>
      <w:bookmarkStart w:id="0" w:name="_GoBack"/>
      <w:bookmarkEnd w:id="0"/>
    </w:p>
    <w:p w:rsidR="00551BF7" w:rsidRDefault="00551BF7" w:rsidP="00F1086D">
      <w:pPr>
        <w:pStyle w:val="Prrafodelista"/>
        <w:spacing w:after="200" w:line="276" w:lineRule="auto"/>
        <w:ind w:left="1440"/>
        <w:jc w:val="both"/>
        <w:rPr>
          <w:rFonts w:ascii="Comic Sans MS" w:hAnsi="Comic Sans MS"/>
          <w:color w:val="FF0000"/>
        </w:rPr>
      </w:pPr>
    </w:p>
    <w:p w:rsidR="00551BF7" w:rsidRPr="00F1086D" w:rsidRDefault="00551BF7" w:rsidP="00F1086D">
      <w:pPr>
        <w:pStyle w:val="Prrafodelista"/>
        <w:spacing w:after="200" w:line="276" w:lineRule="auto"/>
        <w:ind w:left="1440"/>
        <w:jc w:val="both"/>
        <w:rPr>
          <w:rFonts w:ascii="Comic Sans MS" w:hAnsi="Comic Sans MS"/>
          <w:color w:val="FF0000"/>
        </w:rPr>
      </w:pPr>
    </w:p>
    <w:p w:rsidR="0076781B" w:rsidRDefault="00551BF7" w:rsidP="00551BF7">
      <w:pPr>
        <w:pStyle w:val="Prrafodelista"/>
        <w:spacing w:after="200" w:line="276" w:lineRule="auto"/>
        <w:ind w:left="360"/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10.</w:t>
      </w:r>
      <w:r w:rsidR="0076781B">
        <w:rPr>
          <w:rFonts w:ascii="Comic Sans MS" w:hAnsi="Comic Sans MS"/>
          <w:color w:val="FF0000"/>
        </w:rPr>
        <w:t xml:space="preserve">   La consultora XYZ está analizando el proceso de introducción de datos en la oficina del catastro provincial, para realizar una serie de recomendaciones sobre los cambios que son precisos llevar a cabo para mejorar el proceso. La consultora ha identificado varios tipos de errores que se describen en la siguiente tabla: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7028"/>
        <w:gridCol w:w="1466"/>
      </w:tblGrid>
      <w:tr w:rsidR="0076781B" w:rsidTr="0076781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76781B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Error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76781B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Total</w:t>
            </w:r>
          </w:p>
        </w:tc>
      </w:tr>
      <w:tr w:rsidR="0076781B" w:rsidTr="0076781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F1086D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1-</w:t>
            </w:r>
            <w:r w:rsidR="0076781B">
              <w:rPr>
                <w:rFonts w:ascii="Comic Sans MS" w:eastAsia="Comic Sans MS" w:hAnsi="Comic Sans MS" w:cs="Comic Sans MS"/>
                <w:color w:val="FF0000"/>
              </w:rPr>
              <w:t>Escribe mal el nombre del titular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76781B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23</w:t>
            </w:r>
          </w:p>
        </w:tc>
      </w:tr>
      <w:tr w:rsidR="0076781B" w:rsidTr="0076781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F1086D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2-</w:t>
            </w:r>
            <w:r w:rsidR="0076781B">
              <w:rPr>
                <w:rFonts w:ascii="Comic Sans MS" w:eastAsia="Comic Sans MS" w:hAnsi="Comic Sans MS" w:cs="Comic Sans MS"/>
                <w:color w:val="FF0000"/>
              </w:rPr>
              <w:t>Escribe mal el número de la finca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76781B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21</w:t>
            </w:r>
          </w:p>
        </w:tc>
      </w:tr>
      <w:tr w:rsidR="0076781B" w:rsidTr="0076781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F1086D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3-</w:t>
            </w:r>
            <w:r w:rsidR="0076781B">
              <w:rPr>
                <w:rFonts w:ascii="Comic Sans MS" w:eastAsia="Comic Sans MS" w:hAnsi="Comic Sans MS" w:cs="Comic Sans MS"/>
                <w:color w:val="FF0000"/>
              </w:rPr>
              <w:t>Propiedad vendida después de que se enviara por correo la notificación del impuesto.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76781B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5</w:t>
            </w:r>
          </w:p>
        </w:tc>
      </w:tr>
      <w:tr w:rsidR="0076781B" w:rsidTr="0076781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F1086D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4-</w:t>
            </w:r>
            <w:r w:rsidR="0076781B">
              <w:rPr>
                <w:rFonts w:ascii="Comic Sans MS" w:eastAsia="Comic Sans MS" w:hAnsi="Comic Sans MS" w:cs="Comic Sans MS"/>
                <w:color w:val="FF0000"/>
              </w:rPr>
              <w:t>Finca situada fuera de los límites de la provincia.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76781B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18</w:t>
            </w:r>
          </w:p>
        </w:tc>
      </w:tr>
      <w:tr w:rsidR="0076781B" w:rsidTr="0076781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F1086D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5-</w:t>
            </w:r>
            <w:r w:rsidR="0076781B">
              <w:rPr>
                <w:rFonts w:ascii="Comic Sans MS" w:eastAsia="Comic Sans MS" w:hAnsi="Comic Sans MS" w:cs="Comic Sans MS"/>
                <w:color w:val="FF0000"/>
              </w:rPr>
              <w:t>Descripción legal errónea o incompleta.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76781B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4</w:t>
            </w:r>
          </w:p>
        </w:tc>
      </w:tr>
      <w:tr w:rsidR="0076781B" w:rsidTr="0076781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F1086D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6-</w:t>
            </w:r>
            <w:r w:rsidR="0076781B">
              <w:rPr>
                <w:rFonts w:ascii="Comic Sans MS" w:eastAsia="Comic Sans MS" w:hAnsi="Comic Sans MS" w:cs="Comic Sans MS"/>
                <w:color w:val="FF0000"/>
              </w:rPr>
              <w:t>Escrituras recibidas después de imprimir la notificación del impuesto.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76781B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6</w:t>
            </w:r>
          </w:p>
        </w:tc>
      </w:tr>
      <w:tr w:rsidR="0076781B" w:rsidTr="0076781B">
        <w:trPr>
          <w:trHeight w:val="2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F1086D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7-</w:t>
            </w:r>
            <w:r w:rsidR="0076781B">
              <w:rPr>
                <w:rFonts w:ascii="Comic Sans MS" w:eastAsia="Comic Sans MS" w:hAnsi="Comic Sans MS" w:cs="Comic Sans MS"/>
                <w:color w:val="FF0000"/>
              </w:rPr>
              <w:t>Errores de correspondencia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76781B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2</w:t>
            </w:r>
          </w:p>
        </w:tc>
      </w:tr>
      <w:tr w:rsidR="0076781B" w:rsidTr="0076781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F1086D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8-</w:t>
            </w:r>
            <w:r w:rsidR="0076781B">
              <w:rPr>
                <w:rFonts w:ascii="Comic Sans MS" w:eastAsia="Comic Sans MS" w:hAnsi="Comic Sans MS" w:cs="Comic Sans MS"/>
                <w:color w:val="FF0000"/>
              </w:rPr>
              <w:t>Errores varios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Default="0076781B">
            <w:pPr>
              <w:spacing w:line="240" w:lineRule="auto"/>
              <w:jc w:val="both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  <w:color w:val="FF0000"/>
              </w:rPr>
              <w:t>1</w:t>
            </w:r>
          </w:p>
        </w:tc>
      </w:tr>
    </w:tbl>
    <w:p w:rsidR="0076781B" w:rsidRPr="00551BF7" w:rsidRDefault="00551BF7" w:rsidP="00551BF7">
      <w:pPr>
        <w:pStyle w:val="Prrafodelista"/>
        <w:numPr>
          <w:ilvl w:val="1"/>
          <w:numId w:val="6"/>
        </w:numPr>
        <w:spacing w:after="200" w:line="276" w:lineRule="auto"/>
        <w:jc w:val="both"/>
        <w:rPr>
          <w:rFonts w:ascii="Comic Sans MS" w:hAnsi="Comic Sans MS"/>
          <w:color w:val="FF0000"/>
        </w:rPr>
      </w:pPr>
      <w:r>
        <w:rPr>
          <w:noProof/>
          <w:lang w:eastAsia="es-ES"/>
        </w:rPr>
        <w:lastRenderedPageBreak/>
        <mc:AlternateContent>
          <mc:Choice Requires="cx1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484505</wp:posOffset>
                </wp:positionV>
                <wp:extent cx="5400040" cy="3150235"/>
                <wp:effectExtent l="0" t="0" r="10160" b="12065"/>
                <wp:wrapTight wrapText="bothSides">
                  <wp:wrapPolygon edited="0">
                    <wp:start x="0" y="0"/>
                    <wp:lineTo x="0" y="21552"/>
                    <wp:lineTo x="21564" y="21552"/>
                    <wp:lineTo x="21564" y="0"/>
                    <wp:lineTo x="0" y="0"/>
                  </wp:wrapPolygon>
                </wp:wrapTight>
                <wp:docPr id="4" name="Gráfico 4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8"/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484505</wp:posOffset>
                </wp:positionV>
                <wp:extent cx="5400040" cy="3150235"/>
                <wp:effectExtent l="0" t="0" r="10160" b="12065"/>
                <wp:wrapTight wrapText="bothSides">
                  <wp:wrapPolygon edited="0">
                    <wp:start x="0" y="0"/>
                    <wp:lineTo x="0" y="21552"/>
                    <wp:lineTo x="21564" y="21552"/>
                    <wp:lineTo x="21564" y="0"/>
                    <wp:lineTo x="0" y="0"/>
                  </wp:wrapPolygon>
                </wp:wrapTight>
                <wp:docPr id="4" name="Gráfico 4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áfico 4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3150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6781B" w:rsidRPr="00551BF7">
        <w:rPr>
          <w:rFonts w:ascii="Comic Sans MS" w:hAnsi="Comic Sans MS"/>
          <w:color w:val="FF0000"/>
        </w:rPr>
        <w:t>Construya el diagrama de Pareto de estos defectos en la introducción de los datos e interprételo.</w:t>
      </w:r>
      <w:r w:rsidR="00F1086D" w:rsidRPr="00551BF7">
        <w:rPr>
          <w:rFonts w:ascii="Comic Sans MS" w:hAnsi="Comic Sans MS"/>
          <w:color w:val="FF0000"/>
        </w:rPr>
        <w:t xml:space="preserve"> </w:t>
      </w:r>
      <w:r w:rsidR="00F1086D" w:rsidRPr="00551BF7">
        <w:rPr>
          <w:rFonts w:ascii="Comic Sans MS" w:hAnsi="Comic Sans MS"/>
          <w:color w:val="000000" w:themeColor="text1"/>
        </w:rPr>
        <w:t>Los errores han ido mejorando con el tiempo</w:t>
      </w:r>
    </w:p>
    <w:p w:rsidR="00551BF7" w:rsidRPr="00551BF7" w:rsidRDefault="00551BF7" w:rsidP="00551BF7">
      <w:pPr>
        <w:spacing w:after="200" w:line="276" w:lineRule="auto"/>
        <w:jc w:val="both"/>
        <w:rPr>
          <w:rFonts w:ascii="Comic Sans MS" w:hAnsi="Comic Sans MS"/>
          <w:color w:val="FF0000"/>
        </w:rPr>
      </w:pPr>
    </w:p>
    <w:p w:rsidR="0076781B" w:rsidRPr="00551BF7" w:rsidRDefault="0076781B" w:rsidP="00551BF7">
      <w:pPr>
        <w:pStyle w:val="Prrafodelista"/>
        <w:numPr>
          <w:ilvl w:val="1"/>
          <w:numId w:val="6"/>
        </w:numPr>
        <w:spacing w:after="200" w:line="276" w:lineRule="auto"/>
        <w:jc w:val="both"/>
        <w:rPr>
          <w:rFonts w:ascii="Comic Sans MS" w:hAnsi="Comic Sans MS"/>
          <w:color w:val="FF0000"/>
        </w:rPr>
      </w:pPr>
      <w:r w:rsidRPr="00551BF7">
        <w:rPr>
          <w:rFonts w:ascii="Comic Sans MS" w:hAnsi="Comic Sans MS"/>
          <w:color w:val="FF0000"/>
        </w:rPr>
        <w:t>Qué recomendaciones daría a la oficina del catastro provincial.</w:t>
      </w:r>
    </w:p>
    <w:p w:rsidR="00F1086D" w:rsidRDefault="00F1086D" w:rsidP="00F1086D">
      <w:pPr>
        <w:pStyle w:val="Prrafodelista"/>
        <w:spacing w:after="200" w:line="276" w:lineRule="auto"/>
        <w:ind w:left="1080"/>
        <w:jc w:val="both"/>
        <w:rPr>
          <w:rFonts w:ascii="Comic Sans MS" w:hAnsi="Comic Sans MS"/>
          <w:color w:val="FF0000"/>
        </w:rPr>
      </w:pPr>
    </w:p>
    <w:p w:rsidR="00F1086D" w:rsidRPr="00FA3A19" w:rsidRDefault="00FA3A19" w:rsidP="00F1086D">
      <w:pPr>
        <w:pStyle w:val="Prrafodelista"/>
        <w:spacing w:after="200" w:line="276" w:lineRule="auto"/>
        <w:ind w:left="1080"/>
        <w:jc w:val="both"/>
        <w:rPr>
          <w:rFonts w:ascii="Comic Sans MS" w:hAnsi="Comic Sans MS"/>
          <w:color w:val="000000" w:themeColor="text1"/>
        </w:rPr>
      </w:pPr>
      <w:r w:rsidRPr="00FA3A19">
        <w:rPr>
          <w:rFonts w:ascii="Comic Sans MS" w:hAnsi="Comic Sans MS"/>
          <w:color w:val="000000" w:themeColor="text1"/>
        </w:rPr>
        <w:t>Que se sigan las recomendaciones para hacer los cambios y mejorar todos los errores</w:t>
      </w:r>
    </w:p>
    <w:p w:rsidR="0076781B" w:rsidRDefault="0076781B" w:rsidP="0076781B">
      <w:pPr>
        <w:pStyle w:val="Prrafodelista"/>
        <w:jc w:val="both"/>
        <w:rPr>
          <w:rFonts w:ascii="Comic Sans MS" w:hAnsi="Comic Sans MS"/>
          <w:noProof/>
          <w:color w:val="FF0000"/>
          <w:lang w:eastAsia="es-ES"/>
        </w:rPr>
      </w:pPr>
    </w:p>
    <w:p w:rsidR="00D44842" w:rsidRDefault="00D44842" w:rsidP="0076781B">
      <w:pPr>
        <w:pStyle w:val="Prrafodelista"/>
        <w:jc w:val="both"/>
        <w:rPr>
          <w:rFonts w:ascii="Comic Sans MS" w:hAnsi="Comic Sans MS"/>
          <w:color w:val="FF0000"/>
        </w:rPr>
      </w:pPr>
    </w:p>
    <w:p w:rsidR="0076781B" w:rsidRPr="0076781B" w:rsidRDefault="0076781B" w:rsidP="0076781B">
      <w:pPr>
        <w:spacing w:after="200" w:line="276" w:lineRule="auto"/>
        <w:jc w:val="both"/>
        <w:rPr>
          <w:rFonts w:ascii="Comic Sans MS" w:hAnsi="Comic Sans MS"/>
          <w:color w:val="FF0000"/>
        </w:rPr>
      </w:pPr>
    </w:p>
    <w:p w:rsidR="0076781B" w:rsidRDefault="0076781B" w:rsidP="0076781B"/>
    <w:sectPr w:rsidR="00767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7585"/>
    <w:multiLevelType w:val="hybridMultilevel"/>
    <w:tmpl w:val="054A4A8C"/>
    <w:lvl w:ilvl="0" w:tplc="0BAE51E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8082A"/>
    <w:multiLevelType w:val="hybridMultilevel"/>
    <w:tmpl w:val="550C3D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A3934"/>
    <w:multiLevelType w:val="hybridMultilevel"/>
    <w:tmpl w:val="547EFA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13790"/>
    <w:multiLevelType w:val="hybridMultilevel"/>
    <w:tmpl w:val="AFC48B2C"/>
    <w:lvl w:ilvl="0" w:tplc="8FA888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ED535C"/>
    <w:multiLevelType w:val="hybridMultilevel"/>
    <w:tmpl w:val="547EFA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A2858"/>
    <w:multiLevelType w:val="hybridMultilevel"/>
    <w:tmpl w:val="BF604C62"/>
    <w:lvl w:ilvl="0" w:tplc="0C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EB5A81"/>
    <w:multiLevelType w:val="hybridMultilevel"/>
    <w:tmpl w:val="550C3D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45F1E"/>
    <w:multiLevelType w:val="hybridMultilevel"/>
    <w:tmpl w:val="06CAB53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1B"/>
    <w:rsid w:val="00363826"/>
    <w:rsid w:val="00551BF7"/>
    <w:rsid w:val="005D09EF"/>
    <w:rsid w:val="0076781B"/>
    <w:rsid w:val="00AC7CDE"/>
    <w:rsid w:val="00D44842"/>
    <w:rsid w:val="00F1086D"/>
    <w:rsid w:val="00FA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3872"/>
  <w15:chartTrackingRefBased/>
  <w15:docId w15:val="{94D3D27F-D6DE-4D77-9557-80381B12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6781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6781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6781B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78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4/relationships/chartEx" Target="charts/chartEx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diario.es/internacional/GRAFICOS-accidentes-aereos-datos-historicos_0_369914187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Microsoft_Excel_Worksheet.xlsx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Hoja1!$A$2:$A$51</cx:f>
        <cx:lvl ptCount="50">
          <cx:pt idx="0">1</cx:pt>
          <cx:pt idx="1">2</cx:pt>
          <cx:pt idx="2">3</cx:pt>
          <cx:pt idx="3">4</cx:pt>
          <cx:pt idx="4">5</cx:pt>
          <cx:pt idx="5">6</cx:pt>
          <cx:pt idx="6">7</cx:pt>
          <cx:pt idx="7">8</cx:pt>
        </cx:lvl>
      </cx:strDim>
      <cx:numDim type="val">
        <cx:f>Hoja1!$B$2:$B$51</cx:f>
        <cx:lvl ptCount="50" formatCode="Estándar">
          <cx:pt idx="0">23</cx:pt>
          <cx:pt idx="1">21</cx:pt>
          <cx:pt idx="2">5</cx:pt>
          <cx:pt idx="3">18</cx:pt>
          <cx:pt idx="4">4</cx:pt>
          <cx:pt idx="5">6</cx:pt>
          <cx:pt idx="6">2</cx:pt>
          <cx:pt idx="7">1</cx:pt>
        </cx:lvl>
      </cx:numDim>
    </cx:data>
  </cx:chartData>
  <cx:chart>
    <cx:title pos="t" align="ctr" overlay="0"/>
    <cx:plotArea>
      <cx:plotAreaRegion>
        <cx:series layoutId="clusteredColumn" uniqueId="{37AAFA18-A92E-4186-9827-D7E20F1D2F65}">
          <cx:tx>
            <cx:txData>
              <cx:f>Hoja1!$B$1</cx:f>
              <cx:v>Serie1</cx:v>
            </cx:txData>
          </cx:tx>
          <cx:dataId val="0"/>
          <cx:layoutPr>
            <cx:aggregation/>
          </cx:layoutPr>
          <cx:axisId val="1"/>
        </cx:series>
        <cx:series layoutId="paretoLine" ownerIdx="0" uniqueId="{F4B4E43A-BD0A-458B-91D7-B31F08F0E58C}">
          <cx:axisId val="2"/>
        </cx:series>
      </cx:plotAreaRegion>
      <cx:axis id="0">
        <cx:catScaling gapWidth="0"/>
        <cx:tickLabels/>
      </cx:axis>
      <cx:axis id="1">
        <cx:valScaling/>
        <cx:majorGridlines/>
        <cx:tickLabels/>
      </cx:axis>
      <cx:axis id="2">
        <cx:valScaling max="1" min="0"/>
        <cx:units unit="percentage"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6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6CA26-B101-42D3-BD83-E960E57C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 Martinez</cp:lastModifiedBy>
  <cp:revision>4</cp:revision>
  <dcterms:created xsi:type="dcterms:W3CDTF">2017-03-07T18:26:00Z</dcterms:created>
  <dcterms:modified xsi:type="dcterms:W3CDTF">2017-03-07T19:30:00Z</dcterms:modified>
</cp:coreProperties>
</file>